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4EFF8" w14:textId="77777777" w:rsidR="00D703B1" w:rsidRDefault="0084145A">
      <w:pPr>
        <w:jc w:val="center"/>
        <w:rPr>
          <w:rFonts w:ascii="PT Astra Serif" w:hAnsi="PT Astra Serif" w:cs="PT Astra Serif"/>
        </w:rPr>
      </w:pPr>
      <w:r>
        <w:rPr>
          <w:rFonts w:ascii="PT Astra Serif" w:hAnsi="PT Astra Serif" w:cs="PT Astra Serif"/>
          <w:b/>
          <w:bCs/>
          <w:sz w:val="28"/>
          <w:szCs w:val="28"/>
        </w:rPr>
        <w:t>Перечень ошибок, наиболее часто допускаемых при прохождении государственной экспертизы проектной документации и результатов инженерных изысканий</w:t>
      </w:r>
    </w:p>
    <w:p w14:paraId="32E6CC5E" w14:textId="77777777" w:rsidR="00D703B1" w:rsidRDefault="0084145A">
      <w:pPr>
        <w:rPr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 «Инженерные изыскания»:</w:t>
      </w:r>
    </w:p>
    <w:p w14:paraId="5B3B12BB" w14:textId="77777777" w:rsidR="00D703B1" w:rsidRDefault="0084145A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отчетах о результатах инженерных изысканий отсутствуют: выписки из каталога</w:t>
      </w:r>
      <w:r>
        <w:rPr>
          <w:rFonts w:ascii="Times New Roman" w:hAnsi="Times New Roman" w:cs="Times New Roman"/>
          <w:sz w:val="24"/>
          <w:szCs w:val="24"/>
        </w:rPr>
        <w:t xml:space="preserve"> координат и высот исходных геодезических пунктов, а также ведомость их обследования; схема созданного планово-высотного обоснования;</w:t>
      </w:r>
    </w:p>
    <w:p w14:paraId="044A6EF2" w14:textId="77777777" w:rsidR="00D703B1" w:rsidRDefault="0084145A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Отсутствуют планы (схемы) инженерных коммуникаций согласованные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сетедержателями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(собственниками);</w:t>
      </w:r>
    </w:p>
    <w:p w14:paraId="368EF9AE" w14:textId="77777777" w:rsidR="00D703B1" w:rsidRDefault="0084145A">
      <w:r>
        <w:rPr>
          <w:rFonts w:ascii="Times New Roman" w:hAnsi="Times New Roman" w:cs="Times New Roman"/>
          <w:sz w:val="24"/>
          <w:szCs w:val="24"/>
        </w:rPr>
        <w:t>3. Если по результа</w:t>
      </w:r>
      <w:r>
        <w:rPr>
          <w:rFonts w:ascii="Times New Roman" w:hAnsi="Times New Roman" w:cs="Times New Roman"/>
          <w:sz w:val="24"/>
          <w:szCs w:val="24"/>
        </w:rPr>
        <w:t>там инженерных изысканий на площадке, расположенной в районе с нормативной сейсмичностью 6 б</w:t>
      </w:r>
    </w:p>
    <w:p w14:paraId="260D51CB" w14:textId="77777777" w:rsidR="00D703B1" w:rsidRDefault="0084145A">
      <w:r>
        <w:rPr>
          <w:rFonts w:ascii="Times New Roman" w:hAnsi="Times New Roman" w:cs="Times New Roman"/>
          <w:sz w:val="24"/>
          <w:szCs w:val="24"/>
        </w:rPr>
        <w:t>Инженерные изыскания:</w:t>
      </w:r>
    </w:p>
    <w:p w14:paraId="68079A75" w14:textId="77777777" w:rsidR="00D703B1" w:rsidRDefault="0084145A">
      <w:r>
        <w:rPr>
          <w:rFonts w:ascii="Times New Roman" w:hAnsi="Times New Roman" w:cs="Times New Roman"/>
          <w:sz w:val="24"/>
          <w:szCs w:val="24"/>
        </w:rPr>
        <w:t>1. В отчетах о результатах инженерных изысканий отсутствуют: выписки из каталога координат и высот исходных геодезических пунктов, а также ве</w:t>
      </w:r>
      <w:r>
        <w:rPr>
          <w:rFonts w:ascii="Times New Roman" w:hAnsi="Times New Roman" w:cs="Times New Roman"/>
          <w:sz w:val="24"/>
          <w:szCs w:val="24"/>
        </w:rPr>
        <w:t>домость их обследования; схема созданного планово-высотного обоснования;</w:t>
      </w:r>
    </w:p>
    <w:p w14:paraId="06BD5FD0" w14:textId="77777777" w:rsidR="00D703B1" w:rsidRDefault="0084145A">
      <w:r>
        <w:rPr>
          <w:rFonts w:ascii="Times New Roman" w:hAnsi="Times New Roman" w:cs="Times New Roman"/>
          <w:sz w:val="24"/>
          <w:szCs w:val="24"/>
        </w:rPr>
        <w:t xml:space="preserve">2. Отсутствуют планы (схемы) инженерных коммуникаций согласованные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сетедержателями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(собственниками);</w:t>
      </w:r>
    </w:p>
    <w:p w14:paraId="2A1151DB" w14:textId="77777777" w:rsidR="00D703B1" w:rsidRDefault="0084145A">
      <w:r>
        <w:rPr>
          <w:rFonts w:ascii="Times New Roman" w:hAnsi="Times New Roman" w:cs="Times New Roman"/>
          <w:sz w:val="24"/>
          <w:szCs w:val="24"/>
        </w:rPr>
        <w:t xml:space="preserve">3. Если по результатам инженерных изысканий на площадке, расположенной в районе </w:t>
      </w:r>
      <w:r>
        <w:rPr>
          <w:rFonts w:ascii="Times New Roman" w:hAnsi="Times New Roman" w:cs="Times New Roman"/>
          <w:sz w:val="24"/>
          <w:szCs w:val="24"/>
        </w:rPr>
        <w:t xml:space="preserve">с нормативной сейсмичностью 6 баллов по карте А ОСР-2015, грунты по их описанию соответствуют грунтам категории III или IV  по сейсмическим свойствам, расчетную сейсмичность площадки следует определять по результатам СМР, выполняемого в составе инженерных </w:t>
      </w:r>
      <w:r>
        <w:rPr>
          <w:rFonts w:ascii="Times New Roman" w:hAnsi="Times New Roman" w:cs="Times New Roman"/>
          <w:sz w:val="24"/>
          <w:szCs w:val="24"/>
        </w:rPr>
        <w:t>изысканий;</w:t>
      </w:r>
    </w:p>
    <w:p w14:paraId="757E073C" w14:textId="77777777" w:rsidR="00D703B1" w:rsidRDefault="0084145A">
      <w:r>
        <w:rPr>
          <w:rFonts w:ascii="Times New Roman" w:hAnsi="Times New Roman" w:cs="Times New Roman"/>
          <w:sz w:val="24"/>
          <w:szCs w:val="24"/>
        </w:rPr>
        <w:t>4. Инженерно-геологические скважины следует располагать по контурам и (или) осям проектируемых зданий и сооружений в местах резкого изменения нагрузок на фундаменты и глубины их заложения, на границах геоморфологических элементов.</w:t>
      </w:r>
    </w:p>
    <w:p w14:paraId="7EE89057" w14:textId="77777777" w:rsidR="00D703B1" w:rsidRDefault="0084145A">
      <w:r>
        <w:rPr>
          <w:rFonts w:ascii="Times New Roman" w:hAnsi="Times New Roman" w:cs="Times New Roman"/>
          <w:sz w:val="24"/>
          <w:szCs w:val="24"/>
        </w:rPr>
        <w:t>5. Глубина инж</w:t>
      </w:r>
      <w:r>
        <w:rPr>
          <w:rFonts w:ascii="Times New Roman" w:hAnsi="Times New Roman" w:cs="Times New Roman"/>
          <w:sz w:val="24"/>
          <w:szCs w:val="24"/>
        </w:rPr>
        <w:t>енерно-геологических скважин для зданий и сооружений нормального уровня ответственности должна быть увеличена не менее чем на 2 м. относительно суммы проектируемой глубины заложения фундамента и глубины сжимаемой толщи грунтов (</w:t>
      </w:r>
      <w:proofErr w:type="spellStart"/>
      <w:r>
        <w:rPr>
          <w:rFonts w:ascii="Times New Roman" w:hAnsi="Times New Roman" w:cs="Times New Roman"/>
          <w:sz w:val="24"/>
          <w:szCs w:val="24"/>
        </w:rPr>
        <w:t>Нс</w:t>
      </w:r>
      <w:proofErr w:type="spellEnd"/>
      <w:r>
        <w:rPr>
          <w:rFonts w:ascii="Times New Roman" w:hAnsi="Times New Roman" w:cs="Times New Roman"/>
          <w:sz w:val="24"/>
          <w:szCs w:val="24"/>
        </w:rPr>
        <w:t>). Глубина сжимаемой толщи</w:t>
      </w:r>
      <w:r>
        <w:rPr>
          <w:rFonts w:ascii="Times New Roman" w:hAnsi="Times New Roman" w:cs="Times New Roman"/>
          <w:sz w:val="24"/>
          <w:szCs w:val="24"/>
        </w:rPr>
        <w:t xml:space="preserve"> в сфере взаимодействия зданий и сооружений с геологической средой определяется трактованиями расчетной модели основания фундамента и указывается заказчиком (лицом, осуществляющим подготовку проектной документации) в задании;</w:t>
      </w:r>
    </w:p>
    <w:p w14:paraId="3AF64A13" w14:textId="77777777" w:rsidR="00D703B1" w:rsidRDefault="0084145A"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 выделенным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инженерно-ге</w:t>
      </w:r>
      <w:r>
        <w:rPr>
          <w:rFonts w:ascii="Times New Roman" w:hAnsi="Times New Roman" w:cs="Times New Roman"/>
          <w:sz w:val="24"/>
          <w:szCs w:val="24"/>
        </w:rPr>
        <w:t>ологическим элементам не соблюдается получение не менее 10 характеристик состава и состояния грунта или не менее 6 характеристик механических (прочностных и деформационных) свойств;</w:t>
      </w:r>
    </w:p>
    <w:p w14:paraId="1584871B" w14:textId="77777777" w:rsidR="00D703B1" w:rsidRDefault="0084145A">
      <w:r>
        <w:rPr>
          <w:rFonts w:ascii="Times New Roman" w:hAnsi="Times New Roman" w:cs="Times New Roman"/>
          <w:sz w:val="24"/>
          <w:szCs w:val="24"/>
        </w:rPr>
        <w:t>7. Отсутствуют ответы специально уполномоченных органов о наличии (отсутст</w:t>
      </w:r>
      <w:r>
        <w:rPr>
          <w:rFonts w:ascii="Times New Roman" w:hAnsi="Times New Roman" w:cs="Times New Roman"/>
          <w:sz w:val="24"/>
          <w:szCs w:val="24"/>
        </w:rPr>
        <w:t>вии) ограничений по использованию земельного участка: органов местного самоуправления; органов охраны культурного наследия; министерства природных ресурсов Приморского края; сведения территориального управления Росрыболовства и др.;</w:t>
      </w:r>
    </w:p>
    <w:p w14:paraId="183FE63C" w14:textId="77777777" w:rsidR="00D703B1" w:rsidRDefault="0084145A">
      <w:r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Установление  границ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зоны затопления участка с учетом отметки наивысшего 1% уровня подъема паводковых вод;</w:t>
      </w:r>
    </w:p>
    <w:p w14:paraId="667053F3" w14:textId="77777777" w:rsidR="00D703B1" w:rsidRDefault="0084145A">
      <w:r>
        <w:rPr>
          <w:rFonts w:ascii="Times New Roman" w:hAnsi="Times New Roman" w:cs="Times New Roman"/>
          <w:sz w:val="24"/>
          <w:szCs w:val="24"/>
        </w:rPr>
        <w:t xml:space="preserve">9. Отсутствуют продольные профили водотоков,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морфостфоры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7E518E67" w14:textId="77777777" w:rsidR="00D703B1" w:rsidRDefault="00D703B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9D112A9" w14:textId="77777777" w:rsidR="00D703B1" w:rsidRDefault="00D703B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4C5A002" w14:textId="77777777" w:rsidR="00D703B1" w:rsidRDefault="00D703B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C983290" w14:textId="77777777" w:rsidR="00D703B1" w:rsidRDefault="0084145A">
      <w:pPr>
        <w:rPr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Раздел «Проектная документация»:</w:t>
      </w:r>
    </w:p>
    <w:p w14:paraId="65D87CE0" w14:textId="77777777" w:rsidR="00D703B1" w:rsidRDefault="0084145A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Отсутствие при заходе на экспертизу документа об утверждении документаци</w:t>
      </w:r>
      <w:r>
        <w:rPr>
          <w:rFonts w:ascii="Times New Roman" w:hAnsi="Times New Roman" w:cs="Times New Roman"/>
          <w:sz w:val="24"/>
          <w:szCs w:val="24"/>
        </w:rPr>
        <w:t>и по планировке и межеванию территорий для линейных объектов, не относящихся к объектам магистральной инфраструктуры, в соответствии с Федеральным законом №254-ФЗ;</w:t>
      </w:r>
    </w:p>
    <w:p w14:paraId="3D3B90EA" w14:textId="77777777" w:rsidR="00D703B1" w:rsidRDefault="0084145A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 размещении здания на земельном участке не учитываются требования, устанавливаемые для</w:t>
      </w:r>
      <w:r>
        <w:rPr>
          <w:rFonts w:ascii="Times New Roman" w:hAnsi="Times New Roman" w:cs="Times New Roman"/>
          <w:sz w:val="24"/>
          <w:szCs w:val="24"/>
        </w:rPr>
        <w:t xml:space="preserve"> зон с особыми условиями использования территории; не учитываются отметки зон затопления, устанавливаемые гидрометеорологическими изысканиями;</w:t>
      </w:r>
    </w:p>
    <w:p w14:paraId="31333E4B" w14:textId="77777777" w:rsidR="00D703B1" w:rsidRDefault="0084145A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Для подключения объекта капитального строительства к сетям инженерного обеспечения за границами отведенного зе</w:t>
      </w:r>
      <w:r>
        <w:rPr>
          <w:rFonts w:ascii="Times New Roman" w:hAnsi="Times New Roman" w:cs="Times New Roman"/>
          <w:sz w:val="24"/>
          <w:szCs w:val="24"/>
        </w:rPr>
        <w:t>мельного участка не предоставляются правоустанавливающие документы на используемые земельные участки, сведения об отсутствии прав третьих лиц и разрешения муниципальных образований на использование земельных участков без предоставления и установления серви</w:t>
      </w:r>
      <w:r>
        <w:rPr>
          <w:rFonts w:ascii="Times New Roman" w:hAnsi="Times New Roman" w:cs="Times New Roman"/>
          <w:sz w:val="24"/>
          <w:szCs w:val="24"/>
        </w:rPr>
        <w:t>тутов;</w:t>
      </w:r>
    </w:p>
    <w:p w14:paraId="15E9A28F" w14:textId="77777777" w:rsidR="00D703B1" w:rsidRDefault="0084145A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Отсутствие решений по защите территории размещения объекта капитального строительства от поверхностных стоков с соседних участков - водоотводные сооружения (нагорные канавы, лотки);</w:t>
      </w:r>
    </w:p>
    <w:p w14:paraId="3F0DFD39" w14:textId="77777777" w:rsidR="00D703B1" w:rsidRDefault="0084145A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Отсутствие решений по ливневой канализации и решений по разде</w:t>
      </w:r>
      <w:r>
        <w:rPr>
          <w:rFonts w:ascii="Times New Roman" w:hAnsi="Times New Roman" w:cs="Times New Roman"/>
          <w:sz w:val="24"/>
          <w:szCs w:val="24"/>
        </w:rPr>
        <w:t>лению поверхностного стока на загрязненные и условно чистые воды для выбора очистных сооружений;</w:t>
      </w:r>
    </w:p>
    <w:p w14:paraId="16B8532B" w14:textId="77777777" w:rsidR="00D703B1" w:rsidRDefault="0084145A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Несоответствие технических решений заданию на проектирование, в том числе по технико-экономическим показателям;</w:t>
      </w:r>
    </w:p>
    <w:p w14:paraId="385B5BD5" w14:textId="77777777" w:rsidR="00D703B1" w:rsidRDefault="0084145A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Неверный выбор технико-экономических пока</w:t>
      </w:r>
      <w:r>
        <w:rPr>
          <w:rFonts w:ascii="Times New Roman" w:hAnsi="Times New Roman" w:cs="Times New Roman"/>
          <w:sz w:val="24"/>
          <w:szCs w:val="24"/>
        </w:rPr>
        <w:t xml:space="preserve">зателей для объектов капитального строительства и для линейных объектов. Наименование ТЭП объектов капительного строительства не соответствует наименованиям и правилам подсчета,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приведенным 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соответствующих СП; </w:t>
      </w:r>
    </w:p>
    <w:p w14:paraId="23DED199" w14:textId="77777777" w:rsidR="00D703B1" w:rsidRDefault="0084145A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Несоответствие зданий требованиям тепло</w:t>
      </w:r>
      <w:r>
        <w:rPr>
          <w:rFonts w:ascii="Times New Roman" w:hAnsi="Times New Roman" w:cs="Times New Roman"/>
          <w:sz w:val="24"/>
          <w:szCs w:val="24"/>
        </w:rPr>
        <w:t>защиты; выполнение теплотехнических расчетов по устаревшим методикам;</w:t>
      </w:r>
    </w:p>
    <w:p w14:paraId="361B9E8B" w14:textId="77777777" w:rsidR="00D703B1" w:rsidRDefault="0084145A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Отсутствие сведений о требуемых параметрах, применяемых материалов - бетонов, стали; сведений о коррозионной защите строительных конструкций;</w:t>
      </w:r>
    </w:p>
    <w:p w14:paraId="5C9E0AAB" w14:textId="77777777" w:rsidR="00D703B1" w:rsidRDefault="0084145A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Необеспеченность проездами и подъездами к зданиям и сооружениям пожарных автомобилей;</w:t>
      </w:r>
    </w:p>
    <w:p w14:paraId="360C2999" w14:textId="77777777" w:rsidR="00D703B1" w:rsidRDefault="0084145A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Непредоставление в экспертизу документов, обосновывающих ущерб водным биоресурсам,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перечетных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ведомостей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подеревной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съемки;</w:t>
      </w:r>
    </w:p>
    <w:p w14:paraId="0BA4A681" w14:textId="77777777" w:rsidR="00D703B1" w:rsidRDefault="0084145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Неподтверждение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заказчиком и отс</w:t>
      </w:r>
      <w:r>
        <w:rPr>
          <w:rFonts w:ascii="Times New Roman" w:hAnsi="Times New Roman" w:cs="Times New Roman"/>
          <w:sz w:val="24"/>
          <w:szCs w:val="24"/>
        </w:rPr>
        <w:t>утствие транспортной схемы, логистических схем доставки строительных материалов и конструкций. Ошибки в подборе кранов и расчете опасных зон.</w:t>
      </w:r>
    </w:p>
    <w:p w14:paraId="4694671F" w14:textId="77777777" w:rsidR="00D703B1" w:rsidRDefault="00D703B1">
      <w:pPr>
        <w:rPr>
          <w:rFonts w:ascii="Times New Roman" w:hAnsi="Times New Roman" w:cs="Times New Roman"/>
          <w:sz w:val="24"/>
          <w:szCs w:val="24"/>
        </w:rPr>
      </w:pPr>
    </w:p>
    <w:p w14:paraId="4644FC4F" w14:textId="77777777" w:rsidR="00D703B1" w:rsidRDefault="0084145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Раздел: «Смета на строительство объекта капитального строительства»</w:t>
      </w: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4540"/>
        <w:gridCol w:w="5102"/>
      </w:tblGrid>
      <w:tr w:rsidR="00D703B1" w14:paraId="43B45297" w14:textId="77777777">
        <w:tc>
          <w:tcPr>
            <w:tcW w:w="562" w:type="dxa"/>
          </w:tcPr>
          <w:p w14:paraId="5F9039B0" w14:textId="77777777" w:rsidR="00D703B1" w:rsidRDefault="0084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40" w:type="dxa"/>
          </w:tcPr>
          <w:p w14:paraId="3B0210B8" w14:textId="77777777" w:rsidR="00D703B1" w:rsidRDefault="0084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Типичные ошибки</w:t>
            </w:r>
          </w:p>
        </w:tc>
        <w:tc>
          <w:tcPr>
            <w:tcW w:w="5102" w:type="dxa"/>
          </w:tcPr>
          <w:p w14:paraId="59483F61" w14:textId="77777777" w:rsidR="00D703B1" w:rsidRDefault="0084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</w:tc>
      </w:tr>
      <w:tr w:rsidR="00D703B1" w14:paraId="6E200FA5" w14:textId="77777777">
        <w:tc>
          <w:tcPr>
            <w:tcW w:w="562" w:type="dxa"/>
            <w:vMerge w:val="restart"/>
          </w:tcPr>
          <w:p w14:paraId="77D14956" w14:textId="77777777" w:rsidR="00D703B1" w:rsidRDefault="0084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40" w:type="dxa"/>
          </w:tcPr>
          <w:p w14:paraId="32F76A52" w14:textId="77777777" w:rsidR="00D703B1" w:rsidRDefault="0084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составе сметной документации отсутствует информация о принятой сметно-нормативной базе при расчете сметной стоимости объекта капитального строительства, </w:t>
            </w:r>
          </w:p>
        </w:tc>
        <w:tc>
          <w:tcPr>
            <w:tcW w:w="5102" w:type="dxa"/>
          </w:tcPr>
          <w:p w14:paraId="58B68BDA" w14:textId="77777777" w:rsidR="00D703B1" w:rsidRDefault="0084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противоречит указаниям п. 20(1) Положения № 145.</w:t>
            </w:r>
          </w:p>
        </w:tc>
      </w:tr>
      <w:tr w:rsidR="00D703B1" w14:paraId="74333F21" w14:textId="77777777">
        <w:trPr>
          <w:trHeight w:val="322"/>
        </w:trPr>
        <w:tc>
          <w:tcPr>
            <w:tcW w:w="562" w:type="dxa"/>
            <w:vMerge/>
          </w:tcPr>
          <w:p w14:paraId="5F052AE5" w14:textId="77777777" w:rsidR="00D703B1" w:rsidRDefault="00D703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0" w:type="dxa"/>
          </w:tcPr>
          <w:p w14:paraId="644B7A11" w14:textId="77777777" w:rsidR="00D703B1" w:rsidRDefault="0084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Представленные ведомости объемов работ не 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олном объеме подтверждают затраты, учтенные в сметных расчетах.</w:t>
            </w:r>
          </w:p>
        </w:tc>
        <w:tc>
          <w:tcPr>
            <w:tcW w:w="5102" w:type="dxa"/>
            <w:vMerge w:val="restart"/>
          </w:tcPr>
          <w:p w14:paraId="3E96C713" w14:textId="77777777" w:rsidR="00D703B1" w:rsidRDefault="0084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противоречит  п.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 27, 35 Методики определения сметной стоимости строительства, реконструкции, капитального ремонта, сноса объектов капитального строительства, работ по сохранению объекто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культурного наследия (памятников истории и культуры) народов РФ на территории РФ,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утвержденной приказом Министерства строительства жилищно-коммунального хозяйства РФ </w:t>
            </w:r>
          </w:p>
          <w:p w14:paraId="39600922" w14:textId="77777777" w:rsidR="00D703B1" w:rsidRDefault="0084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04.08.2020 </w:t>
            </w:r>
          </w:p>
          <w:p w14:paraId="344B200A" w14:textId="77777777" w:rsidR="00D703B1" w:rsidRDefault="0084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421/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редакции Приказа Минстроя РФ от 07.07.2022 </w:t>
            </w:r>
          </w:p>
          <w:p w14:paraId="4118EC6F" w14:textId="77777777" w:rsidR="00D703B1" w:rsidRDefault="0084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557/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(далее «Методика от 04.08.2020 № 421/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</w:tr>
      <w:tr w:rsidR="00D703B1" w14:paraId="7AB59610" w14:textId="77777777">
        <w:tc>
          <w:tcPr>
            <w:tcW w:w="562" w:type="dxa"/>
            <w:vMerge/>
          </w:tcPr>
          <w:p w14:paraId="6D09C8E6" w14:textId="77777777" w:rsidR="00D703B1" w:rsidRDefault="00D703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40" w:type="dxa"/>
          </w:tcPr>
          <w:p w14:paraId="2B6D1FC2" w14:textId="77777777" w:rsidR="00D703B1" w:rsidRDefault="0084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ВОР представить расчеты объемов земляных масс для обоснования земляных работ, учтенных в сметной документации.</w:t>
            </w:r>
          </w:p>
        </w:tc>
        <w:tc>
          <w:tcPr>
            <w:tcW w:w="5102" w:type="dxa"/>
            <w:vMerge/>
          </w:tcPr>
          <w:p w14:paraId="1468273A" w14:textId="77777777" w:rsidR="00D703B1" w:rsidRDefault="00D703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3B1" w14:paraId="61BF6EFC" w14:textId="77777777">
        <w:tc>
          <w:tcPr>
            <w:tcW w:w="562" w:type="dxa"/>
          </w:tcPr>
          <w:p w14:paraId="234AD448" w14:textId="77777777" w:rsidR="00D703B1" w:rsidRDefault="0084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540" w:type="dxa"/>
          </w:tcPr>
          <w:p w14:paraId="08BE9A5D" w14:textId="77777777" w:rsidR="00D703B1" w:rsidRDefault="0084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Ведомости объемов работ являются проду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ктом сметной программы</w:t>
            </w:r>
          </w:p>
        </w:tc>
        <w:tc>
          <w:tcPr>
            <w:tcW w:w="5102" w:type="dxa"/>
            <w:vMerge/>
          </w:tcPr>
          <w:p w14:paraId="13348AD9" w14:textId="77777777" w:rsidR="00D703B1" w:rsidRDefault="00D703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03B1" w14:paraId="42501476" w14:textId="77777777">
        <w:tc>
          <w:tcPr>
            <w:tcW w:w="562" w:type="dxa"/>
          </w:tcPr>
          <w:p w14:paraId="0811B6AE" w14:textId="77777777" w:rsidR="00D703B1" w:rsidRDefault="0084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40" w:type="dxa"/>
          </w:tcPr>
          <w:p w14:paraId="2A99F1BA" w14:textId="77777777" w:rsidR="00D703B1" w:rsidRDefault="0084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Сметная документация, выгруженная в формате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gge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не должна содержать ошибок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ttps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://checkxml.platformaexpert.ru/, устранить ошибки при их выявлении</w:t>
            </w:r>
          </w:p>
        </w:tc>
        <w:tc>
          <w:tcPr>
            <w:tcW w:w="5102" w:type="dxa"/>
          </w:tcPr>
          <w:p w14:paraId="6EDB2F1B" w14:textId="77777777" w:rsidR="00D703B1" w:rsidRDefault="0084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формату электронных документов, представляемых для проведения государственной экспертизы проектной документации и (или) результатов инженерных изысканий и проверки достоверности определения сметной стоимости строительства, реконструкции, капит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ального ремонта объектов капитального строительства, утверждены приказом Министерства строительства</w:t>
            </w:r>
          </w:p>
          <w:p w14:paraId="69AB0409" w14:textId="77777777" w:rsidR="00D703B1" w:rsidRDefault="0084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жилищно-коммунального хозяйства РФ</w:t>
            </w:r>
          </w:p>
          <w:p w14:paraId="60C6B664" w14:textId="77777777" w:rsidR="00D703B1" w:rsidRDefault="0084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12 мая 2017 г. № 783/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</w:tr>
      <w:tr w:rsidR="00D703B1" w14:paraId="3A828AD7" w14:textId="77777777">
        <w:tc>
          <w:tcPr>
            <w:tcW w:w="562" w:type="dxa"/>
          </w:tcPr>
          <w:p w14:paraId="152DCF8E" w14:textId="77777777" w:rsidR="00D703B1" w:rsidRDefault="0084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40" w:type="dxa"/>
          </w:tcPr>
          <w:p w14:paraId="19804884" w14:textId="77777777" w:rsidR="00D703B1" w:rsidRDefault="0084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учета затрат в сметном расчете затрат на пусконаладочные работы,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представлены 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ограммы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ПНР, утвержденные заказчиком. В программах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  информация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перечне оборудования, подлежащего ПНР</w:t>
            </w:r>
          </w:p>
        </w:tc>
        <w:tc>
          <w:tcPr>
            <w:tcW w:w="5102" w:type="dxa"/>
          </w:tcPr>
          <w:p w14:paraId="696A9FD5" w14:textId="77777777" w:rsidR="00D703B1" w:rsidRDefault="0084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противоречит п. 122 Методики от 04.08.2020 №421/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</w:tr>
      <w:tr w:rsidR="00D703B1" w14:paraId="184B3672" w14:textId="77777777">
        <w:tc>
          <w:tcPr>
            <w:tcW w:w="562" w:type="dxa"/>
          </w:tcPr>
          <w:p w14:paraId="3D15397D" w14:textId="77777777" w:rsidR="00D703B1" w:rsidRDefault="0084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40" w:type="dxa"/>
          </w:tcPr>
          <w:p w14:paraId="724B5303" w14:textId="77777777" w:rsidR="00D703B1" w:rsidRDefault="0084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Некорректное применение индексов   изменения сметной стоимости строител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ьства, для определения сметной стоимости строительно-монтажных работ в текущем уровне цен, включенных в главы 1-7 ССРСС</w:t>
            </w:r>
          </w:p>
        </w:tc>
        <w:tc>
          <w:tcPr>
            <w:tcW w:w="5102" w:type="dxa"/>
          </w:tcPr>
          <w:p w14:paraId="4EBC9BCA" w14:textId="77777777" w:rsidR="00D703B1" w:rsidRDefault="0084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Методики расчета индексов изменения сметной стоимости строительства, утвержденной приказом Минстроя России </w:t>
            </w:r>
          </w:p>
          <w:p w14:paraId="34B17E68" w14:textId="77777777" w:rsidR="00D703B1" w:rsidRDefault="0084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05.06.2019 № 326/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D703B1" w14:paraId="003BB68D" w14:textId="77777777">
        <w:tc>
          <w:tcPr>
            <w:tcW w:w="562" w:type="dxa"/>
          </w:tcPr>
          <w:p w14:paraId="18748504" w14:textId="77777777" w:rsidR="00D703B1" w:rsidRDefault="0084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40" w:type="dxa"/>
          </w:tcPr>
          <w:p w14:paraId="491F9683" w14:textId="77777777" w:rsidR="00D703B1" w:rsidRDefault="0084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документах, обосновывающих стоимость в текущем уровне цен  соответствующих материальных ресурсов, оборудования и отдельных видов работ и услуг, предоставляемых производителями (поставщиками) или формируемых на основании данных из открытых и (или) официа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льных источников (прайс-листы коммерческие предложения), указанных в пункте 14 Методики, 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содержиться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следующая информация: наименование производителя (поставщика), его идентификационный номер налогоплательщика (далее - ИНН), контактные данные, сайт в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формационно-телекоммуникационной сети «Интернет» (при наличии), об исполнителе (исполнителях) (при наличии) такого обосновывающего документа с указанием фамилий и инициалов либо иных реквизитов, необходимых для идентификации этих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лиц, а также о дате состав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ления документа, дате и (или) сроках действия ценовых предложений, об учете (или не учете) в ценах отдельных затрат (в частности, на перевозку, шефмонтаж,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шефналадку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и налога на добавленную стоимость (далее - НДС).</w:t>
            </w:r>
          </w:p>
        </w:tc>
        <w:tc>
          <w:tcPr>
            <w:tcW w:w="5102" w:type="dxa"/>
          </w:tcPr>
          <w:p w14:paraId="5BDDF1EF" w14:textId="77777777" w:rsidR="00D703B1" w:rsidRDefault="0084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что противоречит п. п. 13-24, Приложение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C974F90" w14:textId="77777777" w:rsidR="00D703B1" w:rsidRDefault="0084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 Методики от 04.08.2020 </w:t>
            </w:r>
          </w:p>
          <w:p w14:paraId="03D43D2E" w14:textId="77777777" w:rsidR="00D703B1" w:rsidRDefault="0084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421/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</w:tr>
      <w:tr w:rsidR="00D703B1" w14:paraId="65B1C247" w14:textId="77777777">
        <w:tc>
          <w:tcPr>
            <w:tcW w:w="562" w:type="dxa"/>
          </w:tcPr>
          <w:p w14:paraId="0DD6F27A" w14:textId="77777777" w:rsidR="00D703B1" w:rsidRDefault="0084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40" w:type="dxa"/>
          </w:tcPr>
          <w:p w14:paraId="0A20EF18" w14:textId="77777777" w:rsidR="00D703B1" w:rsidRDefault="0084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сметных нормативов, единичных расценок и составляющих единичных расценок для определения стоимости строительно-монтажных и пусконаладочных работ осуществляется исходя из соответствия технологии производства работ, принятой в проектной и (или) иной 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хнической документации, состава работ, перечня, характеристик и расхода строительных ресурсов, учтенных сметными нормами.</w:t>
            </w:r>
          </w:p>
        </w:tc>
        <w:tc>
          <w:tcPr>
            <w:tcW w:w="5102" w:type="dxa"/>
          </w:tcPr>
          <w:p w14:paraId="2C81131D" w14:textId="77777777" w:rsidR="00D703B1" w:rsidRDefault="0084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12, Методики от 04.08.2020 </w:t>
            </w:r>
          </w:p>
          <w:p w14:paraId="6EC70FB0" w14:textId="77777777" w:rsidR="00D703B1" w:rsidRDefault="00841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421/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</w:tr>
    </w:tbl>
    <w:p w14:paraId="6F771AFF" w14:textId="77777777" w:rsidR="00D703B1" w:rsidRDefault="00D703B1">
      <w:pPr>
        <w:rPr>
          <w:rFonts w:ascii="Times New Roman" w:hAnsi="Times New Roman" w:cs="Times New Roman"/>
          <w:sz w:val="28"/>
          <w:szCs w:val="28"/>
        </w:rPr>
      </w:pPr>
    </w:p>
    <w:sectPr w:rsidR="00D703B1">
      <w:pgSz w:w="11906" w:h="16838"/>
      <w:pgMar w:top="567" w:right="567" w:bottom="56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E1FF3" w14:textId="77777777" w:rsidR="0084145A" w:rsidRDefault="0084145A">
      <w:pPr>
        <w:spacing w:after="0" w:line="240" w:lineRule="auto"/>
      </w:pPr>
      <w:r>
        <w:separator/>
      </w:r>
    </w:p>
  </w:endnote>
  <w:endnote w:type="continuationSeparator" w:id="0">
    <w:p w14:paraId="50E7B3AE" w14:textId="77777777" w:rsidR="0084145A" w:rsidRDefault="00841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2E541" w14:textId="77777777" w:rsidR="0084145A" w:rsidRDefault="0084145A">
      <w:pPr>
        <w:spacing w:after="0" w:line="240" w:lineRule="auto"/>
      </w:pPr>
      <w:r>
        <w:separator/>
      </w:r>
    </w:p>
  </w:footnote>
  <w:footnote w:type="continuationSeparator" w:id="0">
    <w:p w14:paraId="05E963BF" w14:textId="77777777" w:rsidR="0084145A" w:rsidRDefault="008414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3B1"/>
    <w:rsid w:val="001A50CB"/>
    <w:rsid w:val="0084145A"/>
    <w:rsid w:val="00D7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8CE5A"/>
  <w15:docId w15:val="{41163D3B-6E86-420F-948A-2E778A398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table" w:styleId="af9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1300</Words>
  <Characters>7415</Characters>
  <Application>Microsoft Office Word</Application>
  <DocSecurity>0</DocSecurity>
  <Lines>61</Lines>
  <Paragraphs>17</Paragraphs>
  <ScaleCrop>false</ScaleCrop>
  <Company/>
  <LinksUpToDate>false</LinksUpToDate>
  <CharactersWithSpaces>8698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Тетерятникова Анастасия Николаевна</dc:creator>
  <cp:keywords/>
  <dc:description/>
  <cp:lastModifiedBy>Администратор безопасности</cp:lastModifiedBy>
  <cp:revision>2</cp:revision>
  <dcterms:created xsi:type="dcterms:W3CDTF">2023-07-03T04:38:00Z</dcterms:created>
  <dcterms:modified xsi:type="dcterms:W3CDTF">2023-07-03T04:38:00Z</dcterms:modified>
</cp:coreProperties>
</file>